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F1" w:rsidRPr="00692E1F" w:rsidRDefault="00CE7DF1"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B00E38" w:rsidRPr="00692E1F" w:rsidRDefault="00B00E38" w:rsidP="00B32FED">
      <w:pPr>
        <w:spacing w:before="0" w:line="360" w:lineRule="auto"/>
        <w:ind w:right="0"/>
        <w:rPr>
          <w:rFonts w:ascii="Arial" w:hAnsi="Arial" w:cs="Arial"/>
        </w:rPr>
      </w:pPr>
    </w:p>
    <w:p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6F467F" w:rsidRPr="006F467F">
        <w:rPr>
          <w:rFonts w:ascii="Arial" w:hAnsi="Arial" w:cs="Arial"/>
          <w:b/>
          <w:sz w:val="28"/>
          <w:szCs w:val="28"/>
        </w:rPr>
        <w:t>Demolição de muro em queda e substituição por vedação em painéis, na Rua da Estação de S.</w:t>
      </w:r>
      <w:r w:rsidR="006F467F">
        <w:rPr>
          <w:rFonts w:ascii="Arial" w:hAnsi="Arial" w:cs="Arial"/>
          <w:b/>
          <w:sz w:val="28"/>
          <w:szCs w:val="28"/>
        </w:rPr>
        <w:t xml:space="preserve"> </w:t>
      </w:r>
      <w:r w:rsidR="006F467F" w:rsidRPr="006F467F">
        <w:rPr>
          <w:rFonts w:ascii="Arial" w:hAnsi="Arial" w:cs="Arial"/>
          <w:b/>
          <w:sz w:val="28"/>
          <w:szCs w:val="28"/>
        </w:rPr>
        <w:t>Mamede, freguesia de S.</w:t>
      </w:r>
      <w:r w:rsidR="006F467F">
        <w:rPr>
          <w:rFonts w:ascii="Arial" w:hAnsi="Arial" w:cs="Arial"/>
          <w:b/>
          <w:sz w:val="28"/>
          <w:szCs w:val="28"/>
        </w:rPr>
        <w:t xml:space="preserve"> </w:t>
      </w:r>
      <w:r w:rsidR="006F467F" w:rsidRPr="006F467F">
        <w:rPr>
          <w:rFonts w:ascii="Arial" w:hAnsi="Arial" w:cs="Arial"/>
          <w:b/>
          <w:sz w:val="28"/>
          <w:szCs w:val="28"/>
        </w:rPr>
        <w:t>Mamede Infesta</w:t>
      </w:r>
      <w:r w:rsidRPr="000739BF">
        <w:rPr>
          <w:rFonts w:ascii="Arial" w:hAnsi="Arial" w:cs="Arial"/>
          <w:b/>
          <w:sz w:val="28"/>
          <w:szCs w:val="28"/>
        </w:rPr>
        <w:t>”</w:t>
      </w: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right"/>
        <w:rPr>
          <w:rFonts w:ascii="Arial" w:hAnsi="Arial" w:cs="Arial"/>
          <w:sz w:val="28"/>
        </w:rPr>
      </w:pPr>
    </w:p>
    <w:p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rsidR="00363ED3" w:rsidRPr="00692E1F" w:rsidRDefault="00363ED3" w:rsidP="00B32FED">
      <w:pPr>
        <w:spacing w:before="0" w:line="360" w:lineRule="auto"/>
        <w:ind w:right="0"/>
        <w:rPr>
          <w:rFonts w:ascii="Arial" w:hAnsi="Arial" w:cs="Arial"/>
        </w:rPr>
      </w:pPr>
    </w:p>
    <w:p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F42C40">
        <w:rPr>
          <w:noProof/>
        </w:rPr>
        <w:t>2</w:t>
      </w:r>
      <w:r w:rsidR="00335187">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F42C40">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F42C40">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F42C40">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F42C40">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F42C40">
        <w:rPr>
          <w:noProof/>
        </w:rPr>
        <w:t>2</w:t>
      </w:r>
      <w:r>
        <w:rPr>
          <w:noProof/>
        </w:rPr>
        <w:fldChar w:fldCharType="end"/>
      </w:r>
    </w:p>
    <w:p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F42C40">
        <w:rPr>
          <w:noProof/>
        </w:rPr>
        <w:t>2</w:t>
      </w:r>
      <w:r>
        <w:rPr>
          <w:noProof/>
        </w:rPr>
        <w:fldChar w:fldCharType="end"/>
      </w:r>
    </w:p>
    <w:p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F42C40">
        <w:rPr>
          <w:noProof/>
        </w:rPr>
        <w:t>2</w:t>
      </w:r>
      <w:r>
        <w:rPr>
          <w:noProof/>
        </w:rPr>
        <w:fldChar w:fldCharType="end"/>
      </w:r>
    </w:p>
    <w:p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F42C40">
        <w:rPr>
          <w:noProof/>
        </w:rPr>
        <w:t>2</w:t>
      </w:r>
      <w:r>
        <w:rPr>
          <w:noProof/>
        </w:rPr>
        <w:fldChar w:fldCharType="end"/>
      </w:r>
    </w:p>
    <w:p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F42C40">
        <w:rPr>
          <w:noProof/>
        </w:rPr>
        <w:t>2</w:t>
      </w:r>
      <w:r>
        <w:rPr>
          <w:noProof/>
        </w:rPr>
        <w:fldChar w:fldCharType="end"/>
      </w:r>
    </w:p>
    <w:p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rsidR="00CE7DF1" w:rsidRPr="00692E1F" w:rsidRDefault="00CE7DF1" w:rsidP="00B32FED">
      <w:pPr>
        <w:spacing w:before="0" w:line="360" w:lineRule="auto"/>
        <w:rPr>
          <w:rFonts w:ascii="Arial" w:hAnsi="Arial" w:cs="Arial"/>
          <w:sz w:val="20"/>
        </w:rPr>
      </w:pPr>
      <w:r w:rsidRPr="00692E1F">
        <w:rPr>
          <w:rFonts w:ascii="Arial" w:hAnsi="Arial" w:cs="Arial"/>
        </w:rPr>
        <w:br w:type="page"/>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rsidR="00CE7DF1" w:rsidRPr="00335187" w:rsidRDefault="003B2FD2" w:rsidP="00335187">
      <w:pPr>
        <w:pStyle w:val="Cabealh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rsidR="00150335" w:rsidRPr="00E06A1F" w:rsidRDefault="00CE7DF1" w:rsidP="00150335">
      <w:pPr>
        <w:spacing w:after="120" w:line="360" w:lineRule="auto"/>
        <w:ind w:left="0" w:right="-7" w:firstLine="0"/>
        <w:rPr>
          <w:rFonts w:ascii="Arial" w:hAnsi="Arial" w:cs="Arial"/>
          <w:b/>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9" w:name="MarcadorDesignacao2"/>
      <w:bookmarkEnd w:id="9"/>
      <w:r w:rsidR="006F467F" w:rsidRPr="006F467F">
        <w:rPr>
          <w:rFonts w:ascii="Arial" w:hAnsi="Arial" w:cs="Arial"/>
          <w:b/>
          <w:sz w:val="20"/>
          <w:szCs w:val="28"/>
        </w:rPr>
        <w:t>Demolição de muro em queda e substituição por vedação em painéis, na Rua da Estação de S.</w:t>
      </w:r>
      <w:r w:rsidR="006F467F">
        <w:rPr>
          <w:rFonts w:ascii="Arial" w:hAnsi="Arial" w:cs="Arial"/>
          <w:b/>
          <w:sz w:val="20"/>
          <w:szCs w:val="28"/>
        </w:rPr>
        <w:t xml:space="preserve"> </w:t>
      </w:r>
      <w:r w:rsidR="006F467F" w:rsidRPr="006F467F">
        <w:rPr>
          <w:rFonts w:ascii="Arial" w:hAnsi="Arial" w:cs="Arial"/>
          <w:b/>
          <w:sz w:val="20"/>
          <w:szCs w:val="28"/>
        </w:rPr>
        <w:t>Mamede, freguesia de S.</w:t>
      </w:r>
      <w:r w:rsidR="006F467F">
        <w:rPr>
          <w:rFonts w:ascii="Arial" w:hAnsi="Arial" w:cs="Arial"/>
          <w:b/>
          <w:sz w:val="20"/>
          <w:szCs w:val="28"/>
        </w:rPr>
        <w:t xml:space="preserve"> </w:t>
      </w:r>
      <w:r w:rsidR="006F467F" w:rsidRPr="006F467F">
        <w:rPr>
          <w:rFonts w:ascii="Arial" w:hAnsi="Arial" w:cs="Arial"/>
          <w:b/>
          <w:sz w:val="20"/>
          <w:szCs w:val="28"/>
        </w:rPr>
        <w:t>Mamede Infesta</w:t>
      </w:r>
      <w:r w:rsidR="00150335" w:rsidRPr="00E06A1F">
        <w:rPr>
          <w:rFonts w:ascii="Arial" w:hAnsi="Arial" w:cs="Arial"/>
          <w:b/>
          <w:sz w:val="20"/>
          <w:szCs w:val="28"/>
        </w:rPr>
        <w:t>”</w:t>
      </w:r>
    </w:p>
    <w:p w:rsidR="00CE7DF1" w:rsidRPr="00E06A1F" w:rsidRDefault="00CE7DF1" w:rsidP="006A51BC">
      <w:pPr>
        <w:pStyle w:val="Cabealh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rsidR="00CE7DF1" w:rsidRPr="00E06A1F" w:rsidRDefault="00CE7DF1" w:rsidP="006A51BC">
      <w:pPr>
        <w:pStyle w:val="Cabealh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cláusulas do Contrato e ao estabelecido em todos os elementos e documentos que dele fazem parte integrante;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Às</w:t>
      </w:r>
      <w:proofErr w:type="gramEnd"/>
      <w:r w:rsidR="00CE7DF1" w:rsidRPr="00692E1F">
        <w:rPr>
          <w:rFonts w:ascii="Arial" w:hAnsi="Arial" w:cs="Arial"/>
          <w:sz w:val="20"/>
        </w:rPr>
        <w:t xml:space="preserve"> regras da arte.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rsidR="00CE7DF1" w:rsidRPr="00692E1F" w:rsidRDefault="000B4CFD" w:rsidP="00426337">
      <w:pPr>
        <w:spacing w:before="0" w:line="360" w:lineRule="auto"/>
        <w:ind w:left="1134" w:right="-7"/>
        <w:rPr>
          <w:rFonts w:ascii="Arial" w:hAnsi="Arial" w:cs="Arial"/>
          <w:sz w:val="20"/>
        </w:rPr>
      </w:pPr>
      <w:proofErr w:type="gramStart"/>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Os</w:t>
      </w:r>
      <w:proofErr w:type="gramEnd"/>
      <w:r w:rsidR="00CE7DF1" w:rsidRPr="00692E1F">
        <w:rPr>
          <w:rFonts w:ascii="Arial" w:hAnsi="Arial" w:cs="Arial"/>
          <w:sz w:val="20"/>
        </w:rPr>
        <w:t xml:space="preserve"> esclarecimentos sobre a proposta adjudicada prestados pelo empreiteiro; </w:t>
      </w:r>
    </w:p>
    <w:p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rsidR="003C3F78" w:rsidRDefault="003C3F78" w:rsidP="003C3F78">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rsidR="003C3F78" w:rsidRPr="00692E1F" w:rsidRDefault="003C3F78" w:rsidP="00426337">
      <w:pPr>
        <w:spacing w:before="0" w:line="360" w:lineRule="auto"/>
        <w:ind w:left="1134" w:right="-7"/>
        <w:rPr>
          <w:rFonts w:ascii="Arial" w:hAnsi="Arial" w:cs="Arial"/>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peças desenhadas prevalecem sobre todas as outras quanto à localização, às características dimensionais da obra e à disposição relativa das suas diferentes partes; </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As</w:t>
      </w:r>
      <w:proofErr w:type="gramEnd"/>
      <w:r w:rsidR="00CE7DF1" w:rsidRPr="00692E1F">
        <w:rPr>
          <w:rFonts w:ascii="Arial" w:hAnsi="Arial" w:cs="Arial"/>
          <w:sz w:val="20"/>
        </w:rPr>
        <w:t xml:space="preserve">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rsidR="00CE7DF1" w:rsidRPr="00692E1F" w:rsidRDefault="00E3068B" w:rsidP="00426337">
      <w:pPr>
        <w:spacing w:before="0" w:line="360" w:lineRule="auto"/>
        <w:ind w:left="1134" w:right="-7"/>
        <w:rPr>
          <w:rFonts w:ascii="Arial" w:hAnsi="Arial" w:cs="Arial"/>
          <w:sz w:val="20"/>
        </w:rPr>
      </w:pPr>
      <w:proofErr w:type="gramStart"/>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Em</w:t>
      </w:r>
      <w:proofErr w:type="gramEnd"/>
      <w:r w:rsidR="00CE7DF1" w:rsidRPr="00692E1F">
        <w:rPr>
          <w:rFonts w:ascii="Arial" w:hAnsi="Arial" w:cs="Arial"/>
          <w:sz w:val="20"/>
        </w:rPr>
        <w:t xml:space="preserve">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rsidR="00CE7DF1" w:rsidRPr="00E06A1F" w:rsidRDefault="009D551A" w:rsidP="001169AA">
      <w:pPr>
        <w:pStyle w:val="Cabealh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rsidR="00CE7DF1" w:rsidRPr="00E06A1F" w:rsidRDefault="00CE7DF1" w:rsidP="006A51BC">
      <w:pPr>
        <w:pStyle w:val="Cabealh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rsidR="00CE7DF1" w:rsidRPr="00E06A1F" w:rsidRDefault="00CE7DF1" w:rsidP="006A51BC">
      <w:pPr>
        <w:pStyle w:val="Cabealh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194645" w:rsidRPr="00692E1F">
        <w:rPr>
          <w:rFonts w:ascii="Arial" w:hAnsi="Arial" w:cs="Arial"/>
          <w:sz w:val="20"/>
        </w:rPr>
        <w:tab/>
      </w:r>
      <w:r w:rsidRPr="00692E1F">
        <w:rPr>
          <w:rFonts w:ascii="Arial" w:hAnsi="Arial" w:cs="Arial"/>
          <w:sz w:val="20"/>
        </w:rPr>
        <w:t>Perante</w:t>
      </w:r>
      <w:proofErr w:type="gramEnd"/>
      <w:r w:rsidRPr="00692E1F">
        <w:rPr>
          <w:rFonts w:ascii="Arial" w:hAnsi="Arial" w:cs="Arial"/>
          <w:sz w:val="20"/>
        </w:rPr>
        <w:t xml:space="preserv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proofErr w:type="gramStart"/>
      <w:r w:rsidR="00CE7DF1" w:rsidRPr="00692E1F">
        <w:rPr>
          <w:rFonts w:ascii="Arial" w:hAnsi="Arial" w:cs="Arial"/>
          <w:sz w:val="20"/>
        </w:rPr>
        <w:t>A preparação e o planeamento</w:t>
      </w:r>
      <w:proofErr w:type="gramEnd"/>
      <w:r w:rsidR="00CE7DF1" w:rsidRPr="00692E1F">
        <w:rPr>
          <w:rFonts w:ascii="Arial" w:hAnsi="Arial" w:cs="Arial"/>
          <w:sz w:val="20"/>
        </w:rPr>
        <w:t xml:space="preserve"> da execução da obra compreendem ainda: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021E3F">
        <w:rPr>
          <w:rFonts w:ascii="Arial" w:hAnsi="Arial" w:cs="Arial"/>
          <w:sz w:val="20"/>
        </w:rPr>
        <w:tab/>
      </w:r>
      <w:r w:rsidRPr="00692E1F">
        <w:rPr>
          <w:rFonts w:ascii="Arial" w:hAnsi="Arial" w:cs="Arial"/>
          <w:sz w:val="20"/>
        </w:rPr>
        <w:t>Iniciar</w:t>
      </w:r>
      <w:proofErr w:type="gramEnd"/>
      <w:r w:rsidRPr="00692E1F">
        <w:rPr>
          <w:rFonts w:ascii="Arial" w:hAnsi="Arial" w:cs="Arial"/>
          <w:sz w:val="20"/>
        </w:rPr>
        <w:t xml:space="preserve">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D35AE1" w:rsidRPr="00692E1F">
        <w:rPr>
          <w:rFonts w:ascii="Arial" w:hAnsi="Arial" w:cs="Arial"/>
          <w:sz w:val="20"/>
        </w:rPr>
        <w:tab/>
      </w:r>
      <w:r w:rsidRPr="00692E1F">
        <w:rPr>
          <w:rFonts w:ascii="Arial" w:hAnsi="Arial" w:cs="Arial"/>
          <w:sz w:val="20"/>
        </w:rPr>
        <w:t>Cumprir</w:t>
      </w:r>
      <w:proofErr w:type="gramEnd"/>
      <w:r w:rsidRPr="00692E1F">
        <w:rPr>
          <w:rFonts w:ascii="Arial" w:hAnsi="Arial" w:cs="Arial"/>
          <w:sz w:val="20"/>
        </w:rPr>
        <w:t xml:space="preserve"> todos os prazos parciais vinculativos de execução previstos </w:t>
      </w:r>
      <w:r w:rsidR="00D35AE1" w:rsidRPr="00692E1F">
        <w:rPr>
          <w:rFonts w:ascii="Arial" w:hAnsi="Arial" w:cs="Arial"/>
          <w:sz w:val="20"/>
        </w:rPr>
        <w:t>no plano de trabalhos em vigor;</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w:t>
      </w:r>
      <w:proofErr w:type="gramStart"/>
      <w:r w:rsidR="00266A3A">
        <w:rPr>
          <w:rFonts w:ascii="Arial" w:hAnsi="Arial" w:cs="Arial"/>
          <w:sz w:val="20"/>
        </w:rPr>
        <w:t>de</w:t>
      </w:r>
      <w:r w:rsidR="00266A3A" w:rsidRPr="00983632">
        <w:rPr>
          <w:rFonts w:ascii="Arial" w:hAnsi="Arial" w:cs="Arial"/>
          <w:b/>
          <w:sz w:val="20"/>
        </w:rPr>
        <w:t xml:space="preserve">  </w:t>
      </w:r>
      <w:bookmarkStart w:id="35" w:name="MarcadorPrazoExec"/>
      <w:bookmarkEnd w:id="35"/>
      <w:r w:rsidR="00F42C40">
        <w:rPr>
          <w:rFonts w:ascii="Arial" w:hAnsi="Arial" w:cs="Arial"/>
          <w:b/>
          <w:sz w:val="20"/>
        </w:rPr>
        <w:t>30</w:t>
      </w:r>
      <w:proofErr w:type="gramEnd"/>
      <w:r w:rsidR="00F42C40">
        <w:rPr>
          <w:rFonts w:ascii="Arial" w:hAnsi="Arial" w:cs="Arial"/>
          <w:b/>
          <w:sz w:val="20"/>
        </w:rPr>
        <w:t xml:space="preserve"> dias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rsidR="00CE7DF1" w:rsidRPr="00E06A1F" w:rsidRDefault="00AB6AC3" w:rsidP="001169AA">
      <w:pPr>
        <w:pStyle w:val="Cabealh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w:t>
      </w:r>
      <w:proofErr w:type="gramStart"/>
      <w:r w:rsidRPr="00692E1F">
        <w:rPr>
          <w:rFonts w:ascii="Arial" w:hAnsi="Arial" w:cs="Arial"/>
          <w:sz w:val="20"/>
        </w:rPr>
        <w:t>contrato</w:t>
      </w:r>
      <w:proofErr w:type="gramEnd"/>
      <w:r w:rsidRPr="00692E1F">
        <w:rPr>
          <w:rFonts w:ascii="Arial" w:hAnsi="Arial" w:cs="Arial"/>
          <w:sz w:val="20"/>
        </w:rPr>
        <w:t xml:space="preserve"> mas que não tenham sido expressamente aceites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oficiais de medição que porventura se encontrem em vigor;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proofErr w:type="gramStart"/>
      <w:r w:rsidR="00562FB5" w:rsidRPr="00692E1F">
        <w:rPr>
          <w:rFonts w:ascii="Arial" w:hAnsi="Arial" w:cs="Arial"/>
          <w:sz w:val="20"/>
        </w:rPr>
        <w:tab/>
      </w:r>
      <w:r w:rsidRPr="00692E1F">
        <w:rPr>
          <w:rFonts w:ascii="Arial" w:hAnsi="Arial" w:cs="Arial"/>
          <w:sz w:val="20"/>
        </w:rPr>
        <w:t>As</w:t>
      </w:r>
      <w:proofErr w:type="gramEnd"/>
      <w:r w:rsidRPr="00692E1F">
        <w:rPr>
          <w:rFonts w:ascii="Arial" w:hAnsi="Arial" w:cs="Arial"/>
          <w:sz w:val="20"/>
        </w:rPr>
        <w:t xml:space="preserve"> normas definidas pelo Laboratório Nacional de Engenharia Civil;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proofErr w:type="gramStart"/>
      <w:r w:rsidR="00562FB5" w:rsidRPr="00692E1F">
        <w:rPr>
          <w:rFonts w:ascii="Arial" w:hAnsi="Arial" w:cs="Arial"/>
          <w:sz w:val="20"/>
        </w:rPr>
        <w:tab/>
      </w:r>
      <w:r w:rsidRPr="00692E1F">
        <w:rPr>
          <w:rFonts w:ascii="Arial" w:hAnsi="Arial" w:cs="Arial"/>
          <w:sz w:val="20"/>
        </w:rPr>
        <w:t>Os</w:t>
      </w:r>
      <w:proofErr w:type="gramEnd"/>
      <w:r w:rsidRPr="00692E1F">
        <w:rPr>
          <w:rFonts w:ascii="Arial" w:hAnsi="Arial" w:cs="Arial"/>
          <w:sz w:val="20"/>
        </w:rPr>
        <w:t xml:space="preserve"> critérios geralmente utilizados ou, na falta deles, os que forem acordados entre o dono da obra e o empreiteiro.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rsidR="00CE7DF1" w:rsidRPr="00692E1F" w:rsidRDefault="00CE7DF1" w:rsidP="00B32FED">
      <w:pPr>
        <w:spacing w:before="0" w:line="360" w:lineRule="auto"/>
        <w:jc w:val="center"/>
        <w:rPr>
          <w:rFonts w:ascii="Arial" w:hAnsi="Arial" w:cs="Arial"/>
          <w:b/>
          <w:sz w:val="20"/>
        </w:rPr>
      </w:pP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rsidR="00CE7DF1" w:rsidRPr="00E06A1F" w:rsidRDefault="00CE7DF1" w:rsidP="00436971">
      <w:pPr>
        <w:pStyle w:val="Cabealh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rsidR="00CE7DF1" w:rsidRPr="00E06A1F" w:rsidRDefault="00CE7DF1" w:rsidP="00CF727E">
      <w:pPr>
        <w:pStyle w:val="Cabealh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rsidR="00CE7DF1" w:rsidRPr="00E06A1F" w:rsidRDefault="00CE7DF1" w:rsidP="00CF727E">
      <w:pPr>
        <w:pStyle w:val="Cabealh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00723D67">
        <w:rPr>
          <w:rFonts w:ascii="Arial" w:hAnsi="Arial" w:cs="Arial"/>
          <w:b/>
          <w:sz w:val="20"/>
          <w:u w:val="single"/>
        </w:rPr>
        <w:t>5</w:t>
      </w:r>
      <w:r w:rsidRPr="00692E1F">
        <w:rPr>
          <w:rFonts w:ascii="Arial" w:hAnsi="Arial" w:cs="Arial"/>
          <w:b/>
          <w:sz w:val="20"/>
          <w:u w:val="single"/>
        </w:rPr>
        <w:t>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rsidR="00CE7DF1" w:rsidRPr="00E06A1F" w:rsidRDefault="00CE7DF1" w:rsidP="00CF727E">
      <w:pPr>
        <w:pStyle w:val="Cabealh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rsidR="00CE7DF1" w:rsidRPr="00E06A1F" w:rsidRDefault="00CE7DF1" w:rsidP="001169AA">
      <w:pPr>
        <w:pStyle w:val="Cabealh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2" w:name="MarcadorFormulaRP"/>
      <w:bookmarkEnd w:id="82"/>
      <w:r w:rsidR="004A4BDF" w:rsidRPr="004A4BDF">
        <w:rPr>
          <w:rFonts w:ascii="Arial" w:hAnsi="Arial" w:cs="Arial"/>
          <w:b/>
          <w:sz w:val="22"/>
        </w:rPr>
        <w:t>F09 - arranjos exteriores</w:t>
      </w:r>
      <w:bookmarkStart w:id="83" w:name="_GoBack"/>
      <w:bookmarkEnd w:id="8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4" w:name="_Toc529175948"/>
      <w:r w:rsidRPr="004B6D8F">
        <w:rPr>
          <w:rFonts w:ascii="Arial" w:hAnsi="Arial" w:cs="Arial"/>
          <w:color w:val="auto"/>
          <w:sz w:val="20"/>
          <w:u w:val="single"/>
        </w:rPr>
        <w:t>Secção V</w:t>
      </w:r>
      <w:bookmarkEnd w:id="84"/>
    </w:p>
    <w:p w:rsidR="00CE7DF1" w:rsidRPr="004B6D8F" w:rsidRDefault="00CE7DF1" w:rsidP="00436971">
      <w:pPr>
        <w:pStyle w:val="Cabealho3"/>
        <w:spacing w:before="0" w:line="360" w:lineRule="auto"/>
        <w:ind w:left="0" w:right="-7" w:firstLine="0"/>
        <w:jc w:val="center"/>
        <w:rPr>
          <w:rFonts w:ascii="Arial" w:hAnsi="Arial" w:cs="Arial"/>
          <w:color w:val="auto"/>
          <w:sz w:val="20"/>
          <w:u w:val="single"/>
        </w:rPr>
      </w:pPr>
      <w:bookmarkStart w:id="85" w:name="_Toc529175949"/>
      <w:r w:rsidRPr="004B6D8F">
        <w:rPr>
          <w:rFonts w:ascii="Arial" w:hAnsi="Arial" w:cs="Arial"/>
          <w:color w:val="auto"/>
          <w:sz w:val="20"/>
          <w:u w:val="single"/>
        </w:rPr>
        <w:t>Seguros</w:t>
      </w:r>
      <w:bookmarkEnd w:id="85"/>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6" w:name="_Toc529175950"/>
      <w:r w:rsidRPr="004B6D8F">
        <w:rPr>
          <w:rFonts w:ascii="Arial" w:hAnsi="Arial" w:cs="Arial"/>
          <w:color w:val="auto"/>
          <w:sz w:val="20"/>
        </w:rPr>
        <w:t>Cláusula 32.ª</w:t>
      </w:r>
      <w:bookmarkEnd w:id="8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7" w:name="_Toc529175951"/>
      <w:r w:rsidRPr="004B6D8F">
        <w:rPr>
          <w:rFonts w:ascii="Arial" w:hAnsi="Arial" w:cs="Arial"/>
          <w:i w:val="0"/>
          <w:color w:val="auto"/>
          <w:sz w:val="20"/>
        </w:rPr>
        <w:t>Contratos de seguro</w:t>
      </w:r>
      <w:bookmarkEnd w:id="8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em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proofErr w:type="gramStart"/>
      <w:r w:rsidRPr="00692E1F">
        <w:rPr>
          <w:rFonts w:ascii="Arial" w:hAnsi="Arial" w:cs="Arial"/>
          <w:sz w:val="20"/>
        </w:rPr>
        <w:t>Todas as apólices</w:t>
      </w:r>
      <w:proofErr w:type="gramEnd"/>
      <w:r w:rsidRPr="00692E1F">
        <w:rPr>
          <w:rFonts w:ascii="Arial" w:hAnsi="Arial" w:cs="Arial"/>
          <w:sz w:val="20"/>
        </w:rPr>
        <w:t xml:space="preserve">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88" w:name="_Toc529175952"/>
      <w:r w:rsidRPr="004B6D8F">
        <w:rPr>
          <w:rFonts w:ascii="Arial" w:hAnsi="Arial" w:cs="Arial"/>
          <w:color w:val="auto"/>
          <w:sz w:val="20"/>
        </w:rPr>
        <w:t>Cláusula 33.ª</w:t>
      </w:r>
      <w:bookmarkEnd w:id="8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89" w:name="_Toc529175953"/>
      <w:r w:rsidRPr="004B6D8F">
        <w:rPr>
          <w:rFonts w:ascii="Arial" w:hAnsi="Arial" w:cs="Arial"/>
          <w:i w:val="0"/>
          <w:color w:val="auto"/>
          <w:sz w:val="20"/>
        </w:rPr>
        <w:t>Outros sinistros</w:t>
      </w:r>
      <w:bookmarkEnd w:id="89"/>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0" w:name="_Toc529175954"/>
      <w:r w:rsidRPr="004B6D8F">
        <w:rPr>
          <w:rFonts w:ascii="Arial" w:hAnsi="Arial" w:cs="Arial"/>
          <w:color w:val="auto"/>
          <w:sz w:val="24"/>
          <w:szCs w:val="24"/>
        </w:rPr>
        <w:lastRenderedPageBreak/>
        <w:t>Capítulo IV</w:t>
      </w:r>
      <w:bookmarkEnd w:id="90"/>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91" w:name="_Toc529175955"/>
      <w:r w:rsidRPr="004B6D8F">
        <w:rPr>
          <w:rFonts w:ascii="Arial" w:hAnsi="Arial" w:cs="Arial"/>
          <w:color w:val="auto"/>
          <w:sz w:val="24"/>
          <w:szCs w:val="24"/>
        </w:rPr>
        <w:t>Representação das partes e controlo da execução do contrato</w:t>
      </w:r>
      <w:bookmarkEnd w:id="91"/>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2" w:name="_Toc529175956"/>
      <w:r w:rsidRPr="004B6D8F">
        <w:rPr>
          <w:rFonts w:ascii="Arial" w:hAnsi="Arial" w:cs="Arial"/>
          <w:color w:val="auto"/>
          <w:sz w:val="20"/>
        </w:rPr>
        <w:t>Cláusula 34.ª</w:t>
      </w:r>
      <w:bookmarkEnd w:id="9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3" w:name="_Toc529175957"/>
      <w:r w:rsidRPr="004B6D8F">
        <w:rPr>
          <w:rFonts w:ascii="Arial" w:hAnsi="Arial" w:cs="Arial"/>
          <w:i w:val="0"/>
          <w:color w:val="auto"/>
          <w:sz w:val="20"/>
        </w:rPr>
        <w:t>Representação do empreiteiro</w:t>
      </w:r>
      <w:bookmarkEnd w:id="9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rsidR="00CE7DF1" w:rsidRPr="004B6D8F" w:rsidRDefault="00CE7DF1" w:rsidP="00B32FED">
      <w:pPr>
        <w:spacing w:before="0" w:line="360" w:lineRule="auto"/>
        <w:ind w:right="-7"/>
        <w:rPr>
          <w:rFonts w:ascii="Arial" w:hAnsi="Arial" w:cs="Arial"/>
          <w:b/>
          <w:sz w:val="22"/>
          <w:u w:val="single"/>
        </w:rPr>
      </w:pPr>
      <w:r w:rsidRPr="004B6D8F">
        <w:rPr>
          <w:rFonts w:ascii="Arial" w:hAnsi="Arial" w:cs="Arial"/>
          <w:b/>
          <w:sz w:val="22"/>
          <w:u w:val="single"/>
        </w:rPr>
        <w:t xml:space="preserve">8 - </w:t>
      </w:r>
      <w:r w:rsidR="00C14A8F" w:rsidRPr="004B6D8F">
        <w:rPr>
          <w:rFonts w:ascii="Arial" w:hAnsi="Arial" w:cs="Arial"/>
          <w:b/>
          <w:sz w:val="22"/>
          <w:u w:val="single"/>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4" w:name="_Toc529175958"/>
      <w:r w:rsidRPr="004B6D8F">
        <w:rPr>
          <w:rFonts w:ascii="Arial" w:hAnsi="Arial" w:cs="Arial"/>
          <w:color w:val="auto"/>
          <w:sz w:val="20"/>
        </w:rPr>
        <w:t>Cláusula 35.ª</w:t>
      </w:r>
      <w:bookmarkEnd w:id="9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5" w:name="_Toc529175959"/>
      <w:r w:rsidRPr="004B6D8F">
        <w:rPr>
          <w:rFonts w:ascii="Arial" w:hAnsi="Arial" w:cs="Arial"/>
          <w:i w:val="0"/>
          <w:color w:val="auto"/>
          <w:sz w:val="20"/>
        </w:rPr>
        <w:t>Representação do dono da obra</w:t>
      </w:r>
      <w:bookmarkEnd w:id="9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96" w:name="_Toc529175960"/>
      <w:r w:rsidRPr="004B6D8F">
        <w:rPr>
          <w:rFonts w:ascii="Arial" w:hAnsi="Arial" w:cs="Arial"/>
          <w:color w:val="auto"/>
          <w:sz w:val="20"/>
        </w:rPr>
        <w:t>Cláusula 36.ª</w:t>
      </w:r>
      <w:bookmarkEnd w:id="9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97" w:name="_Toc529175961"/>
      <w:r w:rsidRPr="004B6D8F">
        <w:rPr>
          <w:rFonts w:ascii="Arial" w:hAnsi="Arial" w:cs="Arial"/>
          <w:i w:val="0"/>
          <w:color w:val="auto"/>
          <w:sz w:val="20"/>
        </w:rPr>
        <w:t>Livro de registo da obra</w:t>
      </w:r>
      <w:bookmarkEnd w:id="9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98" w:name="_Toc529175962"/>
      <w:r w:rsidRPr="004B6D8F">
        <w:rPr>
          <w:rFonts w:ascii="Arial" w:hAnsi="Arial" w:cs="Arial"/>
          <w:color w:val="auto"/>
          <w:sz w:val="24"/>
          <w:szCs w:val="24"/>
        </w:rPr>
        <w:t>Capítulo V</w:t>
      </w:r>
      <w:bookmarkEnd w:id="98"/>
    </w:p>
    <w:p w:rsidR="00CE7DF1" w:rsidRPr="004B6D8F" w:rsidRDefault="008D651B" w:rsidP="00CF727E">
      <w:pPr>
        <w:pStyle w:val="Cabealho2"/>
        <w:spacing w:before="0" w:line="360" w:lineRule="auto"/>
        <w:ind w:left="0" w:right="-7" w:firstLine="0"/>
        <w:jc w:val="center"/>
        <w:rPr>
          <w:rFonts w:ascii="Arial" w:hAnsi="Arial" w:cs="Arial"/>
          <w:color w:val="auto"/>
          <w:sz w:val="24"/>
          <w:szCs w:val="24"/>
        </w:rPr>
      </w:pPr>
      <w:bookmarkStart w:id="99"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0" w:name="_Toc529175964"/>
      <w:r w:rsidRPr="004B6D8F">
        <w:rPr>
          <w:rFonts w:ascii="Arial" w:hAnsi="Arial" w:cs="Arial"/>
          <w:color w:val="auto"/>
          <w:sz w:val="20"/>
        </w:rPr>
        <w:t>Cláusula 37.ª</w:t>
      </w:r>
      <w:bookmarkEnd w:id="100"/>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1"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2" w:name="_Toc529175966"/>
      <w:r w:rsidRPr="004B6D8F">
        <w:rPr>
          <w:rFonts w:ascii="Arial" w:hAnsi="Arial" w:cs="Arial"/>
          <w:color w:val="auto"/>
          <w:sz w:val="20"/>
        </w:rPr>
        <w:t>Cláusula 38.ª</w:t>
      </w:r>
      <w:bookmarkEnd w:id="10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3" w:name="_Toc529175967"/>
      <w:r w:rsidRPr="004B6D8F">
        <w:rPr>
          <w:rFonts w:ascii="Arial" w:hAnsi="Arial" w:cs="Arial"/>
          <w:i w:val="0"/>
          <w:color w:val="auto"/>
          <w:sz w:val="20"/>
        </w:rPr>
        <w:t>Prazo de garantia</w:t>
      </w:r>
      <w:bookmarkEnd w:id="10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4" w:name="_Toc529175968"/>
      <w:r w:rsidRPr="004B6D8F">
        <w:rPr>
          <w:rFonts w:ascii="Arial" w:hAnsi="Arial" w:cs="Arial"/>
          <w:color w:val="auto"/>
          <w:sz w:val="20"/>
        </w:rPr>
        <w:t>Cláusula 39.ª</w:t>
      </w:r>
      <w:bookmarkEnd w:id="104"/>
    </w:p>
    <w:p w:rsidR="00CE7DF1" w:rsidRPr="004B6D8F" w:rsidRDefault="008D651B" w:rsidP="001169AA">
      <w:pPr>
        <w:pStyle w:val="Cabealho4"/>
        <w:spacing w:before="0" w:line="360" w:lineRule="auto"/>
        <w:ind w:left="0" w:right="-7" w:firstLine="0"/>
        <w:jc w:val="center"/>
        <w:rPr>
          <w:rFonts w:ascii="Arial" w:hAnsi="Arial" w:cs="Arial"/>
          <w:i w:val="0"/>
          <w:color w:val="auto"/>
          <w:sz w:val="20"/>
        </w:rPr>
      </w:pPr>
      <w:bookmarkStart w:id="105"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06" w:name="_Toc529175970"/>
      <w:r w:rsidRPr="004B6D8F">
        <w:rPr>
          <w:rFonts w:ascii="Arial" w:hAnsi="Arial" w:cs="Arial"/>
          <w:color w:val="auto"/>
          <w:sz w:val="20"/>
        </w:rPr>
        <w:t>Cláusula 40.ª</w:t>
      </w:r>
      <w:bookmarkEnd w:id="10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07" w:name="_Toc529175971"/>
      <w:r w:rsidRPr="004B6D8F">
        <w:rPr>
          <w:rFonts w:ascii="Arial" w:hAnsi="Arial" w:cs="Arial"/>
          <w:i w:val="0"/>
          <w:color w:val="auto"/>
          <w:sz w:val="20"/>
        </w:rPr>
        <w:t>Restituição dos depósitos e quantias retidas e liberação da caução</w:t>
      </w:r>
      <w:bookmarkEnd w:id="107"/>
    </w:p>
    <w:p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a) No</w:t>
      </w:r>
      <w:proofErr w:type="gramEnd"/>
      <w:r w:rsidRPr="00823C01">
        <w:rPr>
          <w:rFonts w:ascii="Arial" w:hAnsi="Arial" w:cs="Arial"/>
          <w:sz w:val="20"/>
        </w:rPr>
        <w:t xml:space="preserve"> final do primeiro ano, 30 %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b) No</w:t>
      </w:r>
      <w:proofErr w:type="gramEnd"/>
      <w:r w:rsidRPr="00823C01">
        <w:rPr>
          <w:rFonts w:ascii="Arial" w:hAnsi="Arial" w:cs="Arial"/>
          <w:sz w:val="20"/>
        </w:rPr>
        <w:t xml:space="preserve"> final do segundo ano, 30 %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lastRenderedPageBreak/>
        <w:t>c) No</w:t>
      </w:r>
      <w:proofErr w:type="gramEnd"/>
      <w:r w:rsidRPr="00823C01">
        <w:rPr>
          <w:rFonts w:ascii="Arial" w:hAnsi="Arial" w:cs="Arial"/>
          <w:sz w:val="20"/>
        </w:rPr>
        <w:t xml:space="preserve"> final do terceiro ano, 15 % do valor da caução;</w:t>
      </w:r>
    </w:p>
    <w:p w:rsidR="004B6D8F" w:rsidRPr="00823C01" w:rsidRDefault="004B6D8F" w:rsidP="004B6D8F">
      <w:pPr>
        <w:spacing w:after="120" w:line="360" w:lineRule="auto"/>
        <w:ind w:left="1842"/>
        <w:rPr>
          <w:rFonts w:ascii="Arial" w:hAnsi="Arial" w:cs="Arial"/>
          <w:sz w:val="20"/>
        </w:rPr>
      </w:pPr>
      <w:proofErr w:type="gramStart"/>
      <w:r w:rsidRPr="00823C01">
        <w:rPr>
          <w:rFonts w:ascii="Arial" w:hAnsi="Arial" w:cs="Arial"/>
          <w:sz w:val="20"/>
        </w:rPr>
        <w:t>d) No</w:t>
      </w:r>
      <w:proofErr w:type="gramEnd"/>
      <w:r w:rsidRPr="00823C01">
        <w:rPr>
          <w:rFonts w:ascii="Arial" w:hAnsi="Arial" w:cs="Arial"/>
          <w:sz w:val="20"/>
        </w:rPr>
        <w:t xml:space="preserve"> final do quarto ano, 15 % do valor da caução;</w:t>
      </w:r>
    </w:p>
    <w:p w:rsidR="004B6D8F" w:rsidRDefault="004B6D8F" w:rsidP="004B6D8F">
      <w:pPr>
        <w:spacing w:after="120" w:line="360" w:lineRule="auto"/>
        <w:ind w:left="1842"/>
        <w:rPr>
          <w:rFonts w:ascii="Arial" w:hAnsi="Arial" w:cs="Arial"/>
          <w:sz w:val="20"/>
        </w:rPr>
      </w:pPr>
      <w:proofErr w:type="gramStart"/>
      <w:r w:rsidRPr="00823C01">
        <w:rPr>
          <w:rFonts w:ascii="Arial" w:hAnsi="Arial" w:cs="Arial"/>
          <w:sz w:val="20"/>
        </w:rPr>
        <w:t>e) No</w:t>
      </w:r>
      <w:proofErr w:type="gramEnd"/>
      <w:r w:rsidRPr="00823C01">
        <w:rPr>
          <w:rFonts w:ascii="Arial" w:hAnsi="Arial" w:cs="Arial"/>
          <w:sz w:val="20"/>
        </w:rPr>
        <w:t xml:space="preserve"> final do quinto ano, os 10 % restantes.</w:t>
      </w:r>
    </w:p>
    <w:p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rsidR="00CE7DF1" w:rsidRPr="004B6D8F" w:rsidRDefault="00CE7DF1" w:rsidP="00CF727E">
      <w:pPr>
        <w:pStyle w:val="Cabealho1"/>
        <w:spacing w:before="0" w:line="360" w:lineRule="auto"/>
        <w:ind w:left="0" w:right="-7" w:firstLine="0"/>
        <w:jc w:val="center"/>
        <w:rPr>
          <w:rFonts w:ascii="Arial" w:hAnsi="Arial" w:cs="Arial"/>
          <w:color w:val="auto"/>
          <w:sz w:val="24"/>
          <w:szCs w:val="24"/>
        </w:rPr>
      </w:pPr>
      <w:bookmarkStart w:id="108" w:name="_Toc529175972"/>
      <w:r w:rsidRPr="004B6D8F">
        <w:rPr>
          <w:rFonts w:ascii="Arial" w:hAnsi="Arial" w:cs="Arial"/>
          <w:color w:val="auto"/>
          <w:sz w:val="24"/>
          <w:szCs w:val="24"/>
        </w:rPr>
        <w:t>Capítulo VI</w:t>
      </w:r>
      <w:bookmarkEnd w:id="108"/>
    </w:p>
    <w:p w:rsidR="00CE7DF1" w:rsidRPr="004B6D8F" w:rsidRDefault="00CE7DF1" w:rsidP="00CF727E">
      <w:pPr>
        <w:pStyle w:val="Cabealho2"/>
        <w:spacing w:before="0" w:line="360" w:lineRule="auto"/>
        <w:ind w:left="0" w:right="-7" w:firstLine="0"/>
        <w:jc w:val="center"/>
        <w:rPr>
          <w:rFonts w:ascii="Arial" w:hAnsi="Arial" w:cs="Arial"/>
          <w:color w:val="auto"/>
          <w:sz w:val="24"/>
          <w:szCs w:val="24"/>
        </w:rPr>
      </w:pPr>
      <w:bookmarkStart w:id="109" w:name="_Toc529175973"/>
      <w:r w:rsidRPr="004B6D8F">
        <w:rPr>
          <w:rFonts w:ascii="Arial" w:hAnsi="Arial" w:cs="Arial"/>
          <w:color w:val="auto"/>
          <w:sz w:val="24"/>
          <w:szCs w:val="24"/>
        </w:rPr>
        <w:t>Disposições finais</w:t>
      </w:r>
      <w:bookmarkEnd w:id="109"/>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0" w:name="_Toc529175974"/>
      <w:r w:rsidRPr="004B6D8F">
        <w:rPr>
          <w:rFonts w:ascii="Arial" w:hAnsi="Arial" w:cs="Arial"/>
          <w:color w:val="auto"/>
          <w:sz w:val="20"/>
        </w:rPr>
        <w:t>Cláusula 41.ª</w:t>
      </w:r>
      <w:bookmarkEnd w:id="11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1" w:name="_Toc529175975"/>
      <w:r w:rsidRPr="004B6D8F">
        <w:rPr>
          <w:rFonts w:ascii="Arial" w:hAnsi="Arial" w:cs="Arial"/>
          <w:i w:val="0"/>
          <w:color w:val="auto"/>
          <w:sz w:val="20"/>
        </w:rPr>
        <w:t>Deveres de informação</w:t>
      </w:r>
      <w:bookmarkEnd w:id="11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2" w:name="_Toc529175976"/>
      <w:r w:rsidRPr="004B6D8F">
        <w:rPr>
          <w:rFonts w:ascii="Arial" w:hAnsi="Arial" w:cs="Arial"/>
          <w:color w:val="auto"/>
          <w:sz w:val="20"/>
        </w:rPr>
        <w:t>Cláusula 42.ª</w:t>
      </w:r>
      <w:bookmarkEnd w:id="11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3" w:name="_Toc529175977"/>
      <w:r w:rsidRPr="004B6D8F">
        <w:rPr>
          <w:rFonts w:ascii="Arial" w:hAnsi="Arial" w:cs="Arial"/>
          <w:i w:val="0"/>
          <w:color w:val="auto"/>
          <w:sz w:val="20"/>
        </w:rPr>
        <w:t>Subcontratação e cessão da posição contratual</w:t>
      </w:r>
      <w:bookmarkEnd w:id="11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4" w:name="_Toc529175978"/>
      <w:r w:rsidRPr="004B6D8F">
        <w:rPr>
          <w:rFonts w:ascii="Arial" w:hAnsi="Arial" w:cs="Arial"/>
          <w:color w:val="auto"/>
          <w:sz w:val="20"/>
        </w:rPr>
        <w:t>Cláusula 43.ª</w:t>
      </w:r>
      <w:bookmarkEnd w:id="114"/>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5" w:name="_Toc529175979"/>
      <w:r w:rsidRPr="004B6D8F">
        <w:rPr>
          <w:rFonts w:ascii="Arial" w:hAnsi="Arial" w:cs="Arial"/>
          <w:i w:val="0"/>
          <w:color w:val="auto"/>
          <w:sz w:val="20"/>
        </w:rPr>
        <w:t>Resolução do contrato pelo dono da obra</w:t>
      </w:r>
      <w:bookmarkEnd w:id="115"/>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valor acumulado das sanções contratuais com natureza pecuniária exceder o limite previsto no n.º 2 do artigo 329.º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 xml:space="preserve">Não renovação do valor da caução pelo empreiteiro, </w:t>
      </w:r>
      <w:proofErr w:type="gramStart"/>
      <w:r w:rsidRPr="00692E1F">
        <w:rPr>
          <w:rFonts w:ascii="Arial" w:hAnsi="Arial" w:cs="Arial"/>
          <w:sz w:val="20"/>
        </w:rPr>
        <w:t>nos caso</w:t>
      </w:r>
      <w:proofErr w:type="gramEnd"/>
      <w:r w:rsidRPr="00692E1F">
        <w:rPr>
          <w:rFonts w:ascii="Arial" w:hAnsi="Arial" w:cs="Arial"/>
          <w:sz w:val="20"/>
        </w:rPr>
        <w:t xml:space="preserve"> em que a tal esteja obrigado;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de forma grave ou reiterada, não cumprir o disposto na legislação sobre segurança, higiene e saúde no trabalho;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C14A8F"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 um atraso no início da execução dos trabalhos imputável ao empreiteiro que seja superior a 1/40 do prazo de execução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 empreiteiro não der início à execução dos trabalhos a mais decorridos 15 dias da notificação da decisão do dono da obra que indefere a reclamação apresentada por aquele e reitera a ordem para a sua execução;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ocorrerem desvios ao plano de trabalhos nos termos do disposto no n.º 3 do artigo 404.º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proofErr w:type="gramStart"/>
      <w:r w:rsidR="00021E3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razões de interesse público, devidamente fundamentado.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rsidR="00CE7DF1" w:rsidRPr="004B6D8F" w:rsidRDefault="00CE7DF1" w:rsidP="00CF727E">
      <w:pPr>
        <w:pStyle w:val="Cabealho3"/>
        <w:spacing w:before="0" w:line="360" w:lineRule="auto"/>
        <w:ind w:left="0" w:right="-7" w:firstLine="0"/>
        <w:jc w:val="center"/>
        <w:rPr>
          <w:rFonts w:ascii="Arial" w:hAnsi="Arial" w:cs="Arial"/>
          <w:color w:val="auto"/>
          <w:sz w:val="20"/>
        </w:rPr>
      </w:pPr>
      <w:bookmarkStart w:id="116" w:name="_Toc529175980"/>
      <w:r w:rsidRPr="004B6D8F">
        <w:rPr>
          <w:rFonts w:ascii="Arial" w:hAnsi="Arial" w:cs="Arial"/>
          <w:color w:val="auto"/>
          <w:sz w:val="20"/>
        </w:rPr>
        <w:t>Cláusula 44.ª</w:t>
      </w:r>
      <w:bookmarkEnd w:id="116"/>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7" w:name="_Toc529175981"/>
      <w:r w:rsidRPr="004B6D8F">
        <w:rPr>
          <w:rFonts w:ascii="Arial" w:hAnsi="Arial" w:cs="Arial"/>
          <w:i w:val="0"/>
          <w:color w:val="auto"/>
          <w:sz w:val="20"/>
        </w:rPr>
        <w:t>Resolução do contrato pelo empreiteiro</w:t>
      </w:r>
      <w:bookmarkEnd w:id="117"/>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não for feita consignação da obra no prazo de seis meses contados da data da celebração do contrato por facto não imputável ao empreiteiro;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havendo sido feitas uma ou mais consignações parciais, o retardamento da consignação ou consignações subsequentes acarretar a interrupção dos trabalhos por mais de 120 dias, seguidos ou interpolados;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proofErr w:type="gramStart"/>
      <w:r w:rsidR="00FD0964" w:rsidRPr="00692E1F">
        <w:rPr>
          <w:rFonts w:ascii="Arial" w:hAnsi="Arial" w:cs="Arial"/>
          <w:sz w:val="20"/>
        </w:rPr>
        <w:tab/>
        <w:t>S</w:t>
      </w:r>
      <w:r w:rsidRPr="00692E1F">
        <w:rPr>
          <w:rFonts w:ascii="Arial" w:hAnsi="Arial" w:cs="Arial"/>
          <w:sz w:val="20"/>
        </w:rPr>
        <w:t>e</w:t>
      </w:r>
      <w:proofErr w:type="gramEnd"/>
      <w:r w:rsidRPr="00692E1F">
        <w:rPr>
          <w:rFonts w:ascii="Arial" w:hAnsi="Arial" w:cs="Arial"/>
          <w:sz w:val="20"/>
        </w:rPr>
        <w:t xml:space="preserv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proofErr w:type="gramStart"/>
      <w:r w:rsidR="00FD0964" w:rsidRPr="00692E1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a suspensão da empreitada se mantiver: </w:t>
      </w:r>
    </w:p>
    <w:p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quinto do prazo de execução da obra, quando resulte de caso de força maior; </w:t>
      </w:r>
    </w:p>
    <w:p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proofErr w:type="gramStart"/>
      <w:r w:rsidR="00FD0964" w:rsidRPr="00692E1F">
        <w:rPr>
          <w:rFonts w:ascii="Arial" w:hAnsi="Arial" w:cs="Arial"/>
          <w:sz w:val="20"/>
        </w:rPr>
        <w:tab/>
      </w:r>
      <w:r w:rsidRPr="00692E1F">
        <w:rPr>
          <w:rFonts w:ascii="Arial" w:hAnsi="Arial" w:cs="Arial"/>
          <w:sz w:val="20"/>
        </w:rPr>
        <w:t>Por</w:t>
      </w:r>
      <w:proofErr w:type="gramEnd"/>
      <w:r w:rsidRPr="00692E1F">
        <w:rPr>
          <w:rFonts w:ascii="Arial" w:hAnsi="Arial" w:cs="Arial"/>
          <w:sz w:val="20"/>
        </w:rPr>
        <w:t xml:space="preserve"> período superior a um décimo do mesmo prazo, quando resulte de facto imputável ao dono da obra;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proofErr w:type="gramStart"/>
      <w:r w:rsidR="00021E3F">
        <w:rPr>
          <w:rFonts w:ascii="Arial" w:hAnsi="Arial" w:cs="Arial"/>
          <w:sz w:val="20"/>
        </w:rPr>
        <w:tab/>
      </w:r>
      <w:r w:rsidRPr="00692E1F">
        <w:rPr>
          <w:rFonts w:ascii="Arial" w:hAnsi="Arial" w:cs="Arial"/>
          <w:sz w:val="20"/>
        </w:rPr>
        <w:t>Se</w:t>
      </w:r>
      <w:proofErr w:type="gramEnd"/>
      <w:r w:rsidRPr="00692E1F">
        <w:rPr>
          <w:rFonts w:ascii="Arial" w:hAnsi="Arial" w:cs="Arial"/>
          <w:sz w:val="20"/>
        </w:rPr>
        <w:t xml:space="preserve">, verificando-se os pressupostos do artigo 354.º do CCP, os danos do empreiteiro excederem 20% do preço contratual.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18" w:name="_Toc529175982"/>
      <w:r w:rsidRPr="004B6D8F">
        <w:rPr>
          <w:rFonts w:ascii="Arial" w:hAnsi="Arial" w:cs="Arial"/>
          <w:color w:val="auto"/>
          <w:sz w:val="20"/>
        </w:rPr>
        <w:t>Cláusula 45.ª</w:t>
      </w:r>
      <w:bookmarkEnd w:id="118"/>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19" w:name="_Toc529175983"/>
      <w:r w:rsidRPr="004B6D8F">
        <w:rPr>
          <w:rFonts w:ascii="Arial" w:hAnsi="Arial" w:cs="Arial"/>
          <w:i w:val="0"/>
          <w:color w:val="auto"/>
          <w:sz w:val="20"/>
        </w:rPr>
        <w:t>Foro competente</w:t>
      </w:r>
      <w:bookmarkEnd w:id="119"/>
    </w:p>
    <w:p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0"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20"/>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1" w:name="_Toc529175985"/>
      <w:r w:rsidRPr="004B6D8F">
        <w:rPr>
          <w:rFonts w:ascii="Arial" w:hAnsi="Arial" w:cs="Arial"/>
          <w:i w:val="0"/>
          <w:color w:val="auto"/>
          <w:sz w:val="20"/>
        </w:rPr>
        <w:t>Arbitragem</w:t>
      </w:r>
      <w:bookmarkEnd w:id="121"/>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proofErr w:type="gramStart"/>
      <w:r w:rsidR="00FD0964" w:rsidRPr="00692E1F">
        <w:rPr>
          <w:rFonts w:ascii="Arial" w:hAnsi="Arial" w:cs="Arial"/>
          <w:sz w:val="20"/>
        </w:rPr>
        <w:tab/>
      </w:r>
      <w:r w:rsidRPr="00692E1F">
        <w:rPr>
          <w:rFonts w:ascii="Arial" w:hAnsi="Arial" w:cs="Arial"/>
          <w:sz w:val="20"/>
        </w:rPr>
        <w:t>No</w:t>
      </w:r>
      <w:proofErr w:type="gramEnd"/>
      <w:r w:rsidRPr="00692E1F">
        <w:rPr>
          <w:rFonts w:ascii="Arial" w:hAnsi="Arial" w:cs="Arial"/>
          <w:sz w:val="20"/>
        </w:rPr>
        <w:t xml:space="preserve"> caso de alguma das partes não designar árbitro ou no caso de os árbitros designados pelas partes não acordarem na escolha do árbitro-presidente, deve esse ser designado pelo Presidente do Tribunal Central Administrativo territorialmente competente.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rsidR="00CE7DF1" w:rsidRPr="004B6D8F" w:rsidRDefault="00CE7DF1" w:rsidP="00D0181A">
      <w:pPr>
        <w:pStyle w:val="Cabealho3"/>
        <w:spacing w:before="0" w:line="360" w:lineRule="auto"/>
        <w:ind w:left="0" w:right="-7" w:firstLine="0"/>
        <w:jc w:val="center"/>
        <w:rPr>
          <w:rFonts w:ascii="Arial" w:hAnsi="Arial" w:cs="Arial"/>
          <w:color w:val="auto"/>
          <w:sz w:val="20"/>
        </w:rPr>
      </w:pPr>
      <w:bookmarkStart w:id="122"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2"/>
    </w:p>
    <w:p w:rsidR="00CE7DF1" w:rsidRPr="004B6D8F" w:rsidRDefault="00CE7DF1" w:rsidP="001169AA">
      <w:pPr>
        <w:pStyle w:val="Cabealho4"/>
        <w:spacing w:before="0" w:line="360" w:lineRule="auto"/>
        <w:ind w:left="0" w:right="-7" w:firstLine="0"/>
        <w:jc w:val="center"/>
        <w:rPr>
          <w:rFonts w:ascii="Arial" w:hAnsi="Arial" w:cs="Arial"/>
          <w:i w:val="0"/>
          <w:color w:val="auto"/>
          <w:sz w:val="20"/>
        </w:rPr>
      </w:pPr>
      <w:bookmarkStart w:id="123" w:name="_Toc529175987"/>
      <w:r w:rsidRPr="004B6D8F">
        <w:rPr>
          <w:rFonts w:ascii="Arial" w:hAnsi="Arial" w:cs="Arial"/>
          <w:i w:val="0"/>
          <w:color w:val="auto"/>
          <w:sz w:val="20"/>
        </w:rPr>
        <w:t>Comunicações e notificações</w:t>
      </w:r>
      <w:bookmarkEnd w:id="123"/>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rsidR="00CE7DF1" w:rsidRPr="004B6D8F" w:rsidRDefault="00CE7DF1" w:rsidP="00335187">
      <w:pPr>
        <w:pStyle w:val="Cabealho3"/>
        <w:spacing w:before="0" w:line="360" w:lineRule="auto"/>
        <w:ind w:left="0" w:right="-6" w:firstLine="0"/>
        <w:jc w:val="center"/>
        <w:rPr>
          <w:rFonts w:ascii="Arial" w:hAnsi="Arial" w:cs="Arial"/>
          <w:color w:val="auto"/>
          <w:sz w:val="20"/>
        </w:rPr>
      </w:pPr>
      <w:bookmarkStart w:id="124"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4"/>
    </w:p>
    <w:p w:rsidR="00CE7DF1" w:rsidRPr="004B6D8F" w:rsidRDefault="00CE7DF1" w:rsidP="00335187">
      <w:pPr>
        <w:pStyle w:val="Cabealho4"/>
        <w:spacing w:before="0" w:line="360" w:lineRule="auto"/>
        <w:ind w:left="0" w:right="-6" w:firstLine="0"/>
        <w:jc w:val="center"/>
        <w:rPr>
          <w:rFonts w:ascii="Arial" w:hAnsi="Arial" w:cs="Arial"/>
          <w:i w:val="0"/>
          <w:color w:val="auto"/>
          <w:sz w:val="20"/>
        </w:rPr>
      </w:pPr>
      <w:bookmarkStart w:id="125" w:name="_Toc529175989"/>
      <w:r w:rsidRPr="004B6D8F">
        <w:rPr>
          <w:rFonts w:ascii="Arial" w:hAnsi="Arial" w:cs="Arial"/>
          <w:i w:val="0"/>
          <w:color w:val="auto"/>
          <w:sz w:val="20"/>
        </w:rPr>
        <w:t>Contagem de prazos</w:t>
      </w:r>
      <w:bookmarkEnd w:id="125"/>
    </w:p>
    <w:p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6" w:name="_Toc529175624"/>
      <w:bookmarkStart w:id="127"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6"/>
      <w:bookmarkEnd w:id="127"/>
    </w:p>
    <w:p w:rsidR="00335187" w:rsidRPr="00335187" w:rsidRDefault="00335187" w:rsidP="00335187">
      <w:pPr>
        <w:pStyle w:val="Cabealho3"/>
        <w:spacing w:before="0" w:line="360" w:lineRule="auto"/>
        <w:ind w:left="0" w:right="-6" w:firstLine="0"/>
        <w:jc w:val="center"/>
        <w:rPr>
          <w:rFonts w:ascii="Arial" w:hAnsi="Arial" w:cs="Arial"/>
          <w:color w:val="auto"/>
          <w:sz w:val="20"/>
        </w:rPr>
      </w:pPr>
      <w:bookmarkStart w:id="128" w:name="_Toc529175625"/>
      <w:bookmarkStart w:id="129" w:name="_Toc529175991"/>
      <w:r w:rsidRPr="00335187">
        <w:rPr>
          <w:rFonts w:ascii="Arial" w:hAnsi="Arial" w:cs="Arial"/>
          <w:color w:val="auto"/>
          <w:sz w:val="20"/>
        </w:rPr>
        <w:t>Proteção de Dados Pessoais</w:t>
      </w:r>
      <w:bookmarkEnd w:id="128"/>
      <w:bookmarkEnd w:id="129"/>
    </w:p>
    <w:p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 xml:space="preserve">O empreiteiro obriga-se a garantir que as empresas por ele subcontratadas cumprirão o disposto no Regulamento Geral de Proteção de Dados e na </w:t>
      </w:r>
      <w:proofErr w:type="gramStart"/>
      <w:r>
        <w:rPr>
          <w:rFonts w:ascii="Arial" w:hAnsi="Arial" w:cs="Arial"/>
          <w:sz w:val="20"/>
        </w:rPr>
        <w:t>demais legislação aplicável</w:t>
      </w:r>
      <w:proofErr w:type="gramEnd"/>
      <w:r>
        <w:rPr>
          <w:rFonts w:ascii="Arial" w:hAnsi="Arial" w:cs="Arial"/>
          <w:sz w:val="20"/>
        </w:rPr>
        <w:t>, devendo tal obrigação constar dos contratos escritos a celebrar com as entidades por si subcontratadas.</w:t>
      </w:r>
    </w:p>
    <w:p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 xml:space="preserve">O empreiteiro obriga-se a cumprir rigorosamente o disposto no Regulamento Geral de Proteção de Dados e </w:t>
      </w:r>
      <w:proofErr w:type="gramStart"/>
      <w:r>
        <w:rPr>
          <w:rFonts w:ascii="Arial" w:hAnsi="Arial" w:cs="Arial"/>
          <w:sz w:val="20"/>
        </w:rPr>
        <w:t>demais legislação aplicável</w:t>
      </w:r>
      <w:proofErr w:type="gramEnd"/>
      <w:r>
        <w:rPr>
          <w:rFonts w:ascii="Arial" w:hAnsi="Arial" w:cs="Arial"/>
          <w:sz w:val="20"/>
        </w:rPr>
        <w:t xml:space="preserve"> em matéria de tratamento de dados pessoais, nomeadamente:</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proofErr w:type="gramStart"/>
      <w:r>
        <w:rPr>
          <w:rFonts w:ascii="Arial" w:hAnsi="Arial" w:cs="Arial"/>
          <w:sz w:val="20"/>
        </w:rPr>
        <w:tab/>
        <w:t>Utilizar</w:t>
      </w:r>
      <w:proofErr w:type="gramEnd"/>
      <w:r>
        <w:rPr>
          <w:rFonts w:ascii="Arial" w:hAnsi="Arial" w:cs="Arial"/>
          <w:sz w:val="20"/>
        </w:rPr>
        <w:t xml:space="preserve"> os dados pessoais a que tenha acesso ou que lhe sejam transmitidos pelo Município de Matosinhos única e exclusivamente para efeitos da prestação dos serviços objeto deste contrato;</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proofErr w:type="gramStart"/>
      <w:r>
        <w:rPr>
          <w:rFonts w:ascii="Arial" w:hAnsi="Arial" w:cs="Arial"/>
          <w:sz w:val="20"/>
        </w:rPr>
        <w:tab/>
        <w:t>Observar</w:t>
      </w:r>
      <w:proofErr w:type="gramEnd"/>
      <w:r>
        <w:rPr>
          <w:rFonts w:ascii="Arial" w:hAnsi="Arial" w:cs="Arial"/>
          <w:sz w:val="20"/>
        </w:rPr>
        <w:t xml:space="preserve"> os termos e condições constantes dos instrumentos de legalização respeitantes aos dados tratados;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proofErr w:type="gramStart"/>
      <w:r>
        <w:rPr>
          <w:rFonts w:ascii="Arial" w:hAnsi="Arial" w:cs="Arial"/>
          <w:sz w:val="20"/>
        </w:rPr>
        <w:tab/>
        <w:t>Manter</w:t>
      </w:r>
      <w:proofErr w:type="gramEnd"/>
      <w:r>
        <w:rPr>
          <w:rFonts w:ascii="Arial" w:hAnsi="Arial" w:cs="Arial"/>
          <w:sz w:val="20"/>
        </w:rPr>
        <w:t xml:space="preserve"> os dados pessoais estritamente confidenciais, cumprindo e garantindo o cumprimento do dever de sigilo profissional relativamente aos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proofErr w:type="gramStart"/>
      <w:r>
        <w:rPr>
          <w:rFonts w:ascii="Arial" w:hAnsi="Arial" w:cs="Arial"/>
          <w:sz w:val="20"/>
        </w:rPr>
        <w:tab/>
        <w:t>Cumprir</w:t>
      </w:r>
      <w:proofErr w:type="gramEnd"/>
      <w:r>
        <w:rPr>
          <w:rFonts w:ascii="Arial" w:hAnsi="Arial" w:cs="Arial"/>
          <w:sz w:val="20"/>
        </w:rPr>
        <w:t xml:space="preserve"> todas as regras relacionadas com o tratamento de dados pessoais a que o Município de Matosinhos esteja vinculada, desde que tais regras lhe sejam previamente comunicadas;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proofErr w:type="gramStart"/>
      <w:r>
        <w:rPr>
          <w:rFonts w:ascii="Arial" w:hAnsi="Arial" w:cs="Arial"/>
          <w:sz w:val="20"/>
        </w:rPr>
        <w:tab/>
        <w:t>Pôr</w:t>
      </w:r>
      <w:proofErr w:type="gramEnd"/>
      <w:r>
        <w:rPr>
          <w:rFonts w:ascii="Arial" w:hAnsi="Arial" w:cs="Arial"/>
          <w:sz w:val="20"/>
        </w:rPr>
        <w:t xml:space="preserve">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proofErr w:type="gramStart"/>
      <w:r>
        <w:rPr>
          <w:rFonts w:ascii="Arial" w:hAnsi="Arial" w:cs="Arial"/>
          <w:sz w:val="20"/>
        </w:rPr>
        <w:tab/>
        <w:t>Assegurar</w:t>
      </w:r>
      <w:proofErr w:type="gramEnd"/>
      <w:r>
        <w:rPr>
          <w:rFonts w:ascii="Arial" w:hAnsi="Arial" w:cs="Arial"/>
          <w:sz w:val="20"/>
        </w:rPr>
        <w:t xml:space="preserve"> que todos os seus colaboradores cumpram todas as obrigações previstas no contrato relativamente às regras de confidencialidade e proteção de dados pessoais;</w:t>
      </w:r>
    </w:p>
    <w:p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proofErr w:type="gramStart"/>
      <w:r>
        <w:rPr>
          <w:rFonts w:ascii="Arial" w:hAnsi="Arial" w:cs="Arial"/>
          <w:sz w:val="20"/>
        </w:rPr>
        <w:tab/>
        <w:t>Adotar</w:t>
      </w:r>
      <w:proofErr w:type="gramEnd"/>
      <w:r>
        <w:rPr>
          <w:rFonts w:ascii="Arial" w:hAnsi="Arial" w:cs="Arial"/>
          <w:sz w:val="20"/>
        </w:rPr>
        <w:t xml:space="preserve"> todas as medidas exigidas nos termos do artigo 32º do RGPD.</w:t>
      </w:r>
    </w:p>
    <w:p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rsidR="00335187" w:rsidRPr="00692E1F" w:rsidRDefault="00335187" w:rsidP="00B32FED">
      <w:pPr>
        <w:spacing w:before="0" w:line="360" w:lineRule="auto"/>
        <w:ind w:left="0" w:right="-7" w:firstLine="0"/>
        <w:rPr>
          <w:rFonts w:ascii="Arial" w:hAnsi="Arial" w:cs="Arial"/>
          <w:sz w:val="20"/>
        </w:rPr>
      </w:pPr>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0" w:name="_Toc529175992"/>
      <w:r w:rsidRPr="004B6D8F">
        <w:rPr>
          <w:rFonts w:ascii="Arial" w:hAnsi="Arial" w:cs="Arial"/>
          <w:color w:val="auto"/>
          <w:sz w:val="24"/>
          <w:szCs w:val="24"/>
        </w:rPr>
        <w:t>CAPÍTULO VII</w:t>
      </w:r>
      <w:bookmarkEnd w:id="130"/>
    </w:p>
    <w:p w:rsidR="00F53895" w:rsidRPr="004B6D8F" w:rsidRDefault="00F53895" w:rsidP="00F53895">
      <w:pPr>
        <w:pStyle w:val="Cabealho1"/>
        <w:spacing w:before="0" w:line="360" w:lineRule="auto"/>
        <w:ind w:left="0" w:right="-7" w:firstLine="0"/>
        <w:jc w:val="center"/>
        <w:rPr>
          <w:rFonts w:ascii="Arial" w:hAnsi="Arial" w:cs="Arial"/>
          <w:color w:val="auto"/>
          <w:sz w:val="24"/>
          <w:szCs w:val="24"/>
        </w:rPr>
      </w:pPr>
      <w:bookmarkStart w:id="131" w:name="_Toc529175993"/>
      <w:r w:rsidRPr="004B6D8F">
        <w:rPr>
          <w:rFonts w:ascii="Arial" w:hAnsi="Arial" w:cs="Arial"/>
          <w:color w:val="auto"/>
          <w:sz w:val="24"/>
          <w:szCs w:val="24"/>
        </w:rPr>
        <w:t>Disposições complementares</w:t>
      </w:r>
      <w:bookmarkEnd w:id="131"/>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2"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2"/>
    </w:p>
    <w:p w:rsidR="00F53895" w:rsidRPr="004B6D8F" w:rsidRDefault="00F53895" w:rsidP="00F53895">
      <w:pPr>
        <w:pStyle w:val="Cabealho3"/>
        <w:spacing w:before="0" w:line="360" w:lineRule="auto"/>
        <w:ind w:left="0" w:right="-7" w:firstLine="0"/>
        <w:jc w:val="center"/>
        <w:rPr>
          <w:rFonts w:ascii="Arial" w:hAnsi="Arial" w:cs="Arial"/>
          <w:color w:val="auto"/>
          <w:sz w:val="20"/>
        </w:rPr>
      </w:pPr>
      <w:bookmarkStart w:id="133" w:name="_Toc529175995"/>
      <w:r w:rsidRPr="004B6D8F">
        <w:rPr>
          <w:rFonts w:ascii="Arial" w:hAnsi="Arial" w:cs="Arial"/>
          <w:color w:val="auto"/>
          <w:sz w:val="20"/>
        </w:rPr>
        <w:t>Geral</w:t>
      </w:r>
      <w:bookmarkEnd w:id="133"/>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C40" w:rsidRDefault="00F42C40" w:rsidP="00973409">
      <w:pPr>
        <w:spacing w:before="0" w:line="240" w:lineRule="auto"/>
      </w:pPr>
      <w:r>
        <w:separator/>
      </w:r>
    </w:p>
  </w:endnote>
  <w:endnote w:type="continuationSeparator" w:id="0">
    <w:p w:rsidR="00F42C40" w:rsidRDefault="00F42C40"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E06A1F" w:rsidTr="003D1971">
      <w:trPr>
        <w:trHeight w:val="250"/>
      </w:trPr>
      <w:tc>
        <w:tcPr>
          <w:tcW w:w="10490" w:type="dxa"/>
        </w:tcPr>
        <w:p w:rsidR="00E06A1F" w:rsidRDefault="00E06A1F">
          <w:pPr>
            <w:pStyle w:val="Rodap"/>
            <w:spacing w:before="0" w:line="240" w:lineRule="auto"/>
            <w:ind w:left="0" w:firstLine="0"/>
            <w:jc w:val="left"/>
            <w:rPr>
              <w:rFonts w:ascii="Arial" w:hAnsi="Arial"/>
              <w:b/>
              <w:smallCaps/>
              <w:sz w:val="16"/>
            </w:rPr>
          </w:pPr>
        </w:p>
      </w:tc>
    </w:tr>
  </w:tbl>
  <w:p w:rsidR="00E06A1F" w:rsidRDefault="00E06A1F">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C40" w:rsidRDefault="00F42C40" w:rsidP="00973409">
      <w:pPr>
        <w:spacing w:before="0" w:line="240" w:lineRule="auto"/>
      </w:pPr>
      <w:r>
        <w:separator/>
      </w:r>
    </w:p>
  </w:footnote>
  <w:footnote w:type="continuationSeparator" w:id="0">
    <w:p w:rsidR="00F42C40" w:rsidRDefault="00F42C40"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E06A1F" w:rsidTr="003D1971">
      <w:tc>
        <w:tcPr>
          <w:tcW w:w="6840" w:type="dxa"/>
        </w:tcPr>
        <w:p w:rsidR="00E06A1F" w:rsidRDefault="00E06A1F">
          <w:pPr>
            <w:pStyle w:val="Cabealho"/>
            <w:spacing w:before="0" w:line="240" w:lineRule="auto"/>
            <w:ind w:left="0" w:right="0" w:firstLine="0"/>
            <w:jc w:val="left"/>
            <w:rPr>
              <w:rFonts w:ascii="Arial" w:hAnsi="Arial"/>
              <w:b/>
              <w:smallCaps/>
              <w:sz w:val="16"/>
            </w:rPr>
          </w:pPr>
          <w:r>
            <w:rPr>
              <w:noProof/>
            </w:rPr>
            <w:drawing>
              <wp:inline distT="0" distB="0" distL="0" distR="0" wp14:anchorId="3A530AC9" wp14:editId="1ED1928B">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rsidR="00E06A1F" w:rsidRDefault="00E06A1F">
          <w:pPr>
            <w:pStyle w:val="Cabealho"/>
            <w:spacing w:before="0" w:line="240" w:lineRule="auto"/>
            <w:ind w:left="0" w:right="0" w:firstLine="0"/>
            <w:jc w:val="left"/>
            <w:rPr>
              <w:rFonts w:ascii="Arial" w:hAnsi="Arial"/>
              <w:b/>
              <w:smallCaps/>
              <w:sz w:val="16"/>
            </w:rPr>
          </w:pPr>
        </w:p>
      </w:tc>
      <w:tc>
        <w:tcPr>
          <w:tcW w:w="3650" w:type="dxa"/>
          <w:vAlign w:val="bottom"/>
        </w:tcPr>
        <w:p w:rsidR="00E06A1F" w:rsidRDefault="00E06A1F">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sidR="004A4BDF">
            <w:rPr>
              <w:rStyle w:val="Nmerodepgina"/>
              <w:rFonts w:ascii="Arial" w:hAnsi="Arial"/>
              <w:b/>
              <w:noProof/>
              <w:sz w:val="16"/>
            </w:rPr>
            <w:t>18</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sidR="004A4BDF">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rsidR="00E06A1F" w:rsidRDefault="00E06A1F"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p>
  <w:p w:rsidR="00E06A1F" w:rsidRDefault="00E06A1F"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3A530AC9" wp14:editId="1ED1928B">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C40"/>
    <w:rsid w:val="00021E3F"/>
    <w:rsid w:val="00041FD6"/>
    <w:rsid w:val="000566A7"/>
    <w:rsid w:val="00094E55"/>
    <w:rsid w:val="000B4CFD"/>
    <w:rsid w:val="000C27E8"/>
    <w:rsid w:val="001151D0"/>
    <w:rsid w:val="001169AA"/>
    <w:rsid w:val="00137145"/>
    <w:rsid w:val="00150335"/>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A7847"/>
    <w:rsid w:val="003B2FD2"/>
    <w:rsid w:val="003C3F78"/>
    <w:rsid w:val="003D1971"/>
    <w:rsid w:val="003E5199"/>
    <w:rsid w:val="00406F56"/>
    <w:rsid w:val="00414EBD"/>
    <w:rsid w:val="00426337"/>
    <w:rsid w:val="00436971"/>
    <w:rsid w:val="004A4BDF"/>
    <w:rsid w:val="004B6D8F"/>
    <w:rsid w:val="00502C03"/>
    <w:rsid w:val="00562FB5"/>
    <w:rsid w:val="00575E03"/>
    <w:rsid w:val="0060646E"/>
    <w:rsid w:val="00624A8D"/>
    <w:rsid w:val="0067434F"/>
    <w:rsid w:val="00692E1F"/>
    <w:rsid w:val="006A51BC"/>
    <w:rsid w:val="006E0FFB"/>
    <w:rsid w:val="006E5230"/>
    <w:rsid w:val="006F2AAD"/>
    <w:rsid w:val="006F467F"/>
    <w:rsid w:val="00723D67"/>
    <w:rsid w:val="00735F22"/>
    <w:rsid w:val="007616E4"/>
    <w:rsid w:val="00763381"/>
    <w:rsid w:val="0076593E"/>
    <w:rsid w:val="007F42E6"/>
    <w:rsid w:val="008010AF"/>
    <w:rsid w:val="00802A64"/>
    <w:rsid w:val="008068C9"/>
    <w:rsid w:val="008C6126"/>
    <w:rsid w:val="008D651B"/>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C53C7"/>
    <w:rsid w:val="00BF10A7"/>
    <w:rsid w:val="00BF64BC"/>
    <w:rsid w:val="00C01E48"/>
    <w:rsid w:val="00C14A8F"/>
    <w:rsid w:val="00CA333C"/>
    <w:rsid w:val="00CD0B5F"/>
    <w:rsid w:val="00CE7DF1"/>
    <w:rsid w:val="00CF727E"/>
    <w:rsid w:val="00D0181A"/>
    <w:rsid w:val="00D27920"/>
    <w:rsid w:val="00D35AE1"/>
    <w:rsid w:val="00D45413"/>
    <w:rsid w:val="00D76C62"/>
    <w:rsid w:val="00DF47A9"/>
    <w:rsid w:val="00E06A1F"/>
    <w:rsid w:val="00E228BF"/>
    <w:rsid w:val="00E3068B"/>
    <w:rsid w:val="00E30694"/>
    <w:rsid w:val="00E730E4"/>
    <w:rsid w:val="00EB4FC5"/>
    <w:rsid w:val="00ED0396"/>
    <w:rsid w:val="00F42C40"/>
    <w:rsid w:val="00F53895"/>
    <w:rsid w:val="00F617EC"/>
    <w:rsid w:val="00F95C08"/>
    <w:rsid w:val="00FD09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425B18"/>
  <w15:docId w15:val="{E860A150-C11D-477C-AB1D-AF14250F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Cabealho1">
    <w:name w:val="heading 1"/>
    <w:basedOn w:val="Normal"/>
    <w:next w:val="Normal"/>
    <w:link w:val="Cabealh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Cabealho1Carter">
    <w:name w:val="Cabeçalho 1 Caráter"/>
    <w:basedOn w:val="Tipodeletrapredefinidodopargrafo"/>
    <w:link w:val="Cabealh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Cabealho2Carter">
    <w:name w:val="Cabeçalho 2 Caráter"/>
    <w:basedOn w:val="Tipodeletrapredefinidodopargrafo"/>
    <w:link w:val="Cabealh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Cabealho3Carter">
    <w:name w:val="Cabeçalho 3 Caráter"/>
    <w:basedOn w:val="Tipodeletrapredefinidodopargrafo"/>
    <w:link w:val="Cabealh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Cabealho4Carter">
    <w:name w:val="Cabeçalho 4 Caráter"/>
    <w:basedOn w:val="Tipodeletrapredefinidodopargrafo"/>
    <w:link w:val="Cabealh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659070735">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516F-3D77-454B-BA04-7B53E761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6</TotalTime>
  <Pages>30</Pages>
  <Words>10867</Words>
  <Characters>58685</Characters>
  <Application>Microsoft Office Word</Application>
  <DocSecurity>0</DocSecurity>
  <Lines>489</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Maria Reis Ferreira Ribeiro Pereira Mota</dc:creator>
  <cp:keywords/>
  <dc:description/>
  <cp:lastModifiedBy>Maria Rosário Moreira</cp:lastModifiedBy>
  <cp:revision>5</cp:revision>
  <cp:lastPrinted>2017-07-06T11:21:00Z</cp:lastPrinted>
  <dcterms:created xsi:type="dcterms:W3CDTF">2021-04-21T09:43:00Z</dcterms:created>
  <dcterms:modified xsi:type="dcterms:W3CDTF">2021-09-01T12:41:00Z</dcterms:modified>
</cp:coreProperties>
</file>